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120bdc3a7425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35450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ČEMINAC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1.259.627,86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1.423.659,51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1.307.383,06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1.358.566,40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65.093,11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53.329,65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210.398,03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242.244,60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157.068,38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242.099,65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267.866,92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240.049,88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89,6</w:t>
            </w:r>
          </w:p>
        </w:tc>
      </w:tr>
    </w:tbl>
    <w:p>
      <w:pPr>
        <w:spacing w:before="0" w:after="0"/>
      </w:pPr>
    </w:p>
    <w:p>
      <w:r>
        <w:t xml:space="preserve">U izvještajnom razdoblju siječanj - lipanj 2026. godine ostvaren je manjak prihoda i primitaka, a koji manjak će se pokriti iz prenesenog viška sredstava iz prethodnih godina.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337.701,19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493.106,56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146,0</w:t>
            </w:r>
          </w:p>
        </w:tc>
      </w:tr>
    </w:tbl>
    <w:p>
      <w:pPr>
        <w:spacing w:before="0" w:after="0"/>
      </w:pPr>
    </w:p>
    <w:p>
      <w:r>
        <w:t xml:space="preserve">Prihodi od poreza bilježe rast od 46  % u odnosu na 2025.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505.846,37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522.792,12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103,3</w:t>
            </w:r>
          </w:p>
        </w:tc>
      </w:tr>
    </w:tbl>
    <w:p>
      <w:pPr>
        <w:spacing w:before="0" w:after="0"/>
      </w:pPr>
    </w:p>
    <w:p>
      <w:r>
        <w:t xml:space="preserve">Pomoći iz inozemstva i od subjekata unutar općeg proračuna bilježe rast od 3% u odnosu na isto izvještajno razdoblje 2025.g.  Ostvareni su prihodi za fiskalno izravnanje i fiskalnu održivost dječjeg vrtića te prihodi za provedbu programa Zaželi prema predanim ZDS-ovima.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26.524,74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16.442,89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62,0</w:t>
            </w:r>
          </w:p>
        </w:tc>
      </w:tr>
    </w:tbl>
    <w:p>
      <w:pPr>
        <w:spacing w:before="0" w:after="0"/>
      </w:pPr>
    </w:p>
    <w:p>
      <w:r>
        <w:t xml:space="preserve">Prihodi od imovine bilježe pad od 38 % u odnosu na prethodno izvještajno razdoblje. Prihodi se većinom odnose na prihode od zakupa i iznajmljivanja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384.548,88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390.979,34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101,7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naknadama uprihodovani su za 1 % više u odnosu na isto izvještajno razdoblje prošle godine. Većinu prihoda čini prihod od naplate komunalne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501.008,44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461.319,90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92,1</w:t>
            </w:r>
          </w:p>
        </w:tc>
      </w:tr>
    </w:tbl>
    <w:p>
      <w:pPr>
        <w:spacing w:before="0" w:after="0"/>
      </w:pPr>
    </w:p>
    <w:p>
      <w:r>
        <w:t xml:space="preserve">Rashodi za zaposlene bilježe pad od 8 %, zbog smanjenog broj radnika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267.021,72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389.389,23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145,8</w:t>
            </w:r>
          </w:p>
        </w:tc>
      </w:tr>
    </w:tbl>
    <w:p>
      <w:pPr>
        <w:spacing w:before="0" w:after="0"/>
      </w:pPr>
    </w:p>
    <w:p>
      <w:r>
        <w:t xml:space="preserve">Materijalni rashodi bilježe rast od 46 % iz razloga isplata po sudskim presudama. Materijalni rashodi se u ostalom dijelu odnose na redovne rashode održavanja.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16.743,16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20.510,47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122,5</w:t>
            </w:r>
          </w:p>
        </w:tc>
      </w:tr>
    </w:tbl>
    <w:p>
      <w:pPr>
        <w:spacing w:before="0" w:after="0"/>
      </w:pPr>
    </w:p>
    <w:p>
      <w:r>
        <w:t xml:space="preserve">Financijski rashodi veći su u izvještajnom razdoblju za 22 % u odnosu na isto razdoblje 2025. godine, aiz razloga povećanja cijene za bankarske usluge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169.048,28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122.756,99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72,6</w:t>
            </w:r>
          </w:p>
        </w:tc>
      </w:tr>
    </w:tbl>
    <w:p>
      <w:pPr>
        <w:spacing w:before="0" w:after="0"/>
      </w:pPr>
    </w:p>
    <w:p>
      <w:r>
        <w:t xml:space="preserve">Pomoći dane u inozemstvo i unutar općeg proračuna bilježe pad od 27 %, a odnose se na redovne prijenose korisniku Dječji vrtić Ivančica.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190.865,91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189.257,13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99,2</w:t>
            </w:r>
          </w:p>
        </w:tc>
      </w:tr>
    </w:tbl>
    <w:p>
      <w:pPr>
        <w:spacing w:before="0" w:after="0"/>
      </w:pPr>
    </w:p>
    <w:p>
      <w:r>
        <w:t xml:space="preserve">Naknade građanima i kućanstvima su na istoj razini kao i u prošlogodišnjem razdoblju, a odnose se na planirane isplaćene naknade građanima i kućanstvima.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153.645,55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175.332,68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</w:tbl>
    <w:p>
      <w:pPr>
        <w:spacing w:before="0" w:after="0"/>
      </w:pPr>
    </w:p>
    <w:p>
      <w:r>
        <w:t xml:space="preserve">Rashodi za donacije bilježe rast od 14 % u odnosu na isto razdoblje prethodne godine, a odnose se na planirane tekuće donacije udrugama građana i zajednicama koje djeluju na području Općine Čeminac.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210.398,03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242.244,60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</w:tbl>
    <w:p>
      <w:pPr>
        <w:spacing w:before="0" w:after="0"/>
      </w:pPr>
    </w:p>
    <w:p>
      <w:r>
        <w:t xml:space="preserve">Rashodi za nabavu nefinancijske imovine bilježe rast od 15 % u odnosu na isto razdoblje prethodne godine, a odnose se na planirana ulaganja u imovinu, izgradnju, opremanje, a provedba istih ide po planiranom tijeku.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Izdaci se odnose na redovitu otplatu dugoročnog kredita HBOR-a.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57.775,53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Dospjela obveza odnosi se na sporne račune primljene od dobavljača za koju će se još utvrđivati je li isporuka izvršena.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1.123.613,79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odnose se na:</w:t>
      </w:r>
    </w:p>
    <w:p>
      <w:r>
        <w:t xml:space="preserve">- obveze za režijske troškove i redovne rashode poslovanja</w:t>
      </w:r>
    </w:p>
    <w:p>
      <w:r>
        <w:t xml:space="preserve">-  obveze za nabavu nefinancijske imovinu</w:t>
      </w:r>
    </w:p>
    <w:p>
      <w:r>
        <w:t xml:space="preserve">-  obveze po dugoročnom kreditu HBOR-a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d01d467b2d4205" /></Relationships>
</file>