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79470d6a424f2d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35450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OPĆINA ČEMINAC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23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VI 2026.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1.295.225,13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1.460.791,87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112,8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1.327.855,87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1.391.746,22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104,8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POSLOVANJA (šifre 6-Z005)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69.045,65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53.329,65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144,95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0,3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225.075,48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243.243,46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108,1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171.745,83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243.098,51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141,5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63.043,34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63.043,34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PRIMITAKA OD FINANCIJSKE IMOVINE I ZADUŽIVANJA (šifre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63.043,34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63.043,34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100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267.419,91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237.096,20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88,7</w:t>
            </w:r>
          </w:p>
        </w:tc>
      </w:tr>
    </w:tbl>
    <w:p>
      <w:pPr>
        <w:spacing w:before="0" w:after="0"/>
      </w:pPr>
    </w:p>
    <w:p>
      <w:r>
        <w:t xml:space="preserve">U izvještajnom razdoblju siječanj - lipanj 2026. godine ostvaren je manjak prihoda i primitaka, a koji manjak nije planiran i pokriti će se  u narednom periodu tekuće godine.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poreza (šifre 611+612+613+614+615+616)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337.701,19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493.106,56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146,0</w:t>
            </w:r>
          </w:p>
        </w:tc>
      </w:tr>
    </w:tbl>
    <w:p>
      <w:pPr>
        <w:spacing w:before="0" w:after="0"/>
      </w:pPr>
    </w:p>
    <w:p>
      <w:r>
        <w:t xml:space="preserve">Prihodi od poreza bilježe rast od 46% u odnosu na 2025. godinu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Pomoći iz inozemstva i od subjekata unutar općeg proračuna (šifre 631+632+633+634+635+636+637+638+639)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505.846,37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522.792,12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103,3</w:t>
            </w:r>
          </w:p>
        </w:tc>
      </w:tr>
    </w:tbl>
    <w:p>
      <w:pPr>
        <w:spacing w:before="0" w:after="0"/>
      </w:pPr>
    </w:p>
    <w:p>
      <w:r>
        <w:t xml:space="preserve">Pomoći iz inozemstva i od subjekata unutar općeg proračuna bilježe rast od 3 % u odnosu na isto izvještajno razdoblje 2026.g.  Ostvareni su prihodi za fiskalno izravnanje i fiskalnu održivost dječjeg vrtića,  te su ostvareni prihodi za provedbu programa Zaželi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imovine (šifre 641+642+643)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26.525,63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16.442,89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62,0</w:t>
            </w:r>
          </w:p>
        </w:tc>
      </w:tr>
    </w:tbl>
    <w:p>
      <w:pPr>
        <w:spacing w:before="0" w:after="0"/>
      </w:pPr>
    </w:p>
    <w:p>
      <w:r>
        <w:t xml:space="preserve">Prihodi od imovine bilježe pad od 38 % u odnosu na prethodno izvještajno razdoblje. Većinom se odnosi na prihode od zakupa i iznajmljivanja imovine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upravnih i administrativnih pristojbi, pristojbi po posebnim propisima i naknada (šifre 651+652+653+654)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420.145,26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428.111,70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101,9</w:t>
            </w:r>
          </w:p>
        </w:tc>
      </w:tr>
    </w:tbl>
    <w:p>
      <w:pPr>
        <w:spacing w:before="0" w:after="0"/>
      </w:pPr>
    </w:p>
    <w:p>
      <w:r>
        <w:t xml:space="preserve">Prihodi od upravnih i administrativnih pristojbi, pristojbi po posebnim propisima i naknadama, odnosi se većinom na naplatu komunalne naknade, participacija na korištenje vrtića, te su isti ostvareni u nešto većem opsegu nego prošle godine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zaposlene (šifre 311+312+313)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651.724,89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583.516,70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89,5</w:t>
            </w:r>
          </w:p>
        </w:tc>
      </w:tr>
    </w:tbl>
    <w:p>
      <w:pPr>
        <w:spacing w:before="0" w:after="0"/>
      </w:pPr>
    </w:p>
    <w:p>
      <w:r>
        <w:t xml:space="preserve">Rashodi za zaposlene bilježe pad od 10 % iz razloga što je prošle godine isplaćena otpremnina, plaće po sudskoj presudi.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Materijalni rashodi (šifre 321+322+323+324+325+329)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305.559,59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423.129,24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138,5</w:t>
            </w:r>
          </w:p>
        </w:tc>
      </w:tr>
    </w:tbl>
    <w:p>
      <w:pPr>
        <w:spacing w:before="0" w:after="0"/>
      </w:pPr>
    </w:p>
    <w:p>
      <w:r>
        <w:t xml:space="preserve">Materijalni rashodi bilježe rast od 38 % iz razloga isplata po sudskim presudama. Materijalni rashodi se u ostalom dijelu odnose na redovne rashode održavanja.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Financijski rashodi (šifre 341+342+343)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17.009,93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20.510,47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120,6</w:t>
            </w:r>
          </w:p>
        </w:tc>
      </w:tr>
    </w:tbl>
    <w:p>
      <w:pPr>
        <w:spacing w:before="0" w:after="0"/>
      </w:pPr>
    </w:p>
    <w:p>
      <w:r>
        <w:t xml:space="preserve">Financijski rashodi veći su u izvještajnom razdoblju za 20 % u odnosu na isto razdoblje 2025. godine, iz razloga povećanja cijene za bankarske usluge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Naknade građanima i kućanstvima na temelju osiguranja i druge naknade (šifre 371+372)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190.865,91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189.257,13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99,2</w:t>
            </w:r>
          </w:p>
        </w:tc>
      </w:tr>
    </w:tbl>
    <w:p>
      <w:pPr>
        <w:spacing w:before="0" w:after="0"/>
      </w:pPr>
    </w:p>
    <w:p>
      <w:r>
        <w:t xml:space="preserve">Naknade građanima i kućanstvima su na istoj razini kao i u prošlogodišnjem razdoblju, a odnose se na planirane isplaćene naknade građanima i kućanstvima.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donacije, kazne, naknade šteta i kapitalne pomoći (šifre 381+382+383+386)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153.645,55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175.332,68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114,1</w:t>
            </w:r>
          </w:p>
        </w:tc>
      </w:tr>
    </w:tbl>
    <w:p>
      <w:pPr>
        <w:spacing w:before="0" w:after="0"/>
      </w:pPr>
    </w:p>
    <w:p>
      <w:r>
        <w:t xml:space="preserve">Rashodi za donacije bilježe rast od 14 % u odnosu na isto razdoblje prethodne godine, a odnose se na planirane tekuće donacije udrugama građana i zajednicama koje djeluju na području Općine Čeminac.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225.075,48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243.243,46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108,1</w:t>
            </w:r>
          </w:p>
        </w:tc>
      </w:tr>
    </w:tbl>
    <w:p>
      <w:pPr>
        <w:spacing w:before="0" w:after="0"/>
      </w:pPr>
    </w:p>
    <w:p>
      <w:r>
        <w:t xml:space="preserve">Rashodi za nabavu nefinancijske imovine bilježe rast od 8 % u odnosu na isto razdoblje prethodne godine, a odnose se na planirana ulaganja u imovinu, izgradnju, opremanje, a provedba istih ide po planiranom tijeku.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63.043,34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63.043,34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100</w:t>
            </w:r>
          </w:p>
        </w:tc>
      </w:tr>
    </w:tbl>
    <w:p>
      <w:pPr>
        <w:spacing w:before="0" w:after="0"/>
      </w:pPr>
    </w:p>
    <w:p>
      <w:r>
        <w:t xml:space="preserve">Izdaci se odnose na redovitu otplatu dugoročnog kredita HBOR-a.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57.775,53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Dospjela obveza odnosi se na sporne račune Općine primljene od dobavljača za koju će se još utvrđivati jeli isporuka izvršena.</w:t>
      </w:r>
    </w:p>
    <w:p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rashode poslovanja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ND23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187.984,35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Nedospjele obveze odnose se na plaću za zaposlene za 06/2026 i redovne režijske i materijalne obveze.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dio 25,26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financijsku imovinu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ND dio 25,26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945.649,98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Odnosi se na dugoročni kredit HBOR-a.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16.</w:t>
      </w:r>
    </w:p>
    <w:p>
      <w:pPr>
        <w:jc w:val="both"/>
        <w:pStyle w:val="Normal"/>
        <w:spacing w:line="240" w:lineRule="auto"/>
      </w:pPr>
      <w:r>
        <w:rPr>
          <w:b/>
          <w:sz w:val="24"/>
          <w:rFonts w:ascii="Times New Roman" w:hAnsi="Times New Roman"/>
        </w:rPr>
        <w:t xml:space="preserve">Unutargrupne transakcije koje su u izvještajima eliminirane</w:t>
      </w:r>
    </w:p>
    <w:p>
      <w:r>
        <w:t xml:space="preserve">U izvještajnom razdoblju eliminirani su redovni prijenosi korisniku Dječji vrtić Ivančica u iznosu od 122.756,99 €.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17.</w:t>
      </w:r>
    </w:p>
    <w:p>
      <w:pPr>
        <w:jc w:val="both"/>
        <w:pStyle w:val="Normal"/>
        <w:spacing w:line="240" w:lineRule="auto"/>
      </w:pPr>
      <w:r>
        <w:rPr>
          <w:b/>
          <w:sz w:val="24"/>
          <w:rFonts w:ascii="Times New Roman" w:hAnsi="Times New Roman"/>
        </w:rPr>
        <w:t xml:space="preserve">Manjak ili višak u poslovanju grupe i pregled strukture manjka/viška po proračunskim korisnicima </w:t>
      </w:r>
    </w:p>
    <w:p>
      <w:r>
        <w:t xml:space="preserve">Unutar poslovanja grupe ostvaren je manjak prihoda nad ostvarenim rashodima u ukupnom iznosu od 237.096,20€, a koji manjak se sastoji od: Ostvareni manjak proračuna Općine Čeminac= 240.049,88€ i Ostvareni višak proračunskog korisnika Dječji vrtić Ivančica = 2.953,68€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e3eeb47619a4183" /></Relationships>
</file>