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894e05e13499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35450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ČEMINAC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1.906.648,05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2.192.363,65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1.834.315,32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1.860.041,20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72.332,73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332.322,45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459,4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32.084,07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2.748,15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284.554,38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404.630,15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252.470,31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401.882,00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159,2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94.565,01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96.759,90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94.565,01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96.759,90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274.702,59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166.319,45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60,5</w:t>
            </w:r>
          </w:p>
        </w:tc>
      </w:tr>
    </w:tbl>
    <w:p>
      <w:pPr>
        <w:spacing w:before="0" w:after="0"/>
      </w:pPr>
    </w:p>
    <w:p>
      <w:r>
        <w:t xml:space="preserve">U izvještajnom razdoblju siječanj - rujan 2026. godine ostvaren je manjak prihoda i primitaka, a koji manjak će se pokriti iz prenesenog viška sredstava iz prethodnih godina.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558.133,37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692.690,56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124,1</w:t>
            </w:r>
          </w:p>
        </w:tc>
      </w:tr>
    </w:tbl>
    <w:p>
      <w:pPr>
        <w:spacing w:before="0" w:after="0"/>
      </w:pPr>
    </w:p>
    <w:p>
      <w:r>
        <w:t xml:space="preserve">Prihodi od poreza bilježe rast od 24 % u odnosu na isto razdoblje 2025. godinu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736.478,78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865.556,06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117,5</w:t>
            </w:r>
          </w:p>
        </w:tc>
      </w:tr>
    </w:tbl>
    <w:p>
      <w:pPr>
        <w:spacing w:before="0" w:after="0"/>
      </w:pPr>
    </w:p>
    <w:p>
      <w:r>
        <w:t xml:space="preserve">Pomoći iz inozemstva i od subjekata unutar općeg proračuna bilježe rast od 18% u odnosu na isto izvještajno razdoblje 2025.g.  Ostvareni su prihodi za fiskalno izravnanje i fiskalnu održivost dječjeg vrtića te prihodi za provedbu programa Zaželi prema predanim ZDS-ovima. Također primljena su i sredstva za sufinanciranje kapitalnih ulaganja temeljem sklopljenih ugovora.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30.182,56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20.486,31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67,9</w:t>
            </w:r>
          </w:p>
        </w:tc>
      </w:tr>
    </w:tbl>
    <w:p>
      <w:pPr>
        <w:spacing w:before="0" w:after="0"/>
      </w:pPr>
    </w:p>
    <w:p>
      <w:r>
        <w:t xml:space="preserve">Prihodi od imovine bilježe pad od 33 % u odnosu na prethodno izvještajno razdoblje. Prihodi se većinom odnose na prihode od zakupa i iznajmljivanja imovine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574.869,44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610.292,12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106,2</w:t>
            </w:r>
          </w:p>
        </w:tc>
      </w:tr>
    </w:tbl>
    <w:p>
      <w:pPr>
        <w:spacing w:before="0" w:after="0"/>
      </w:pPr>
    </w:p>
    <w:p>
      <w:r>
        <w:t xml:space="preserve">Prihodi od upravnih i administrativnih pristojbi, pristojbi po posebnim propisima i naknadama uprihodovani su za 6 % više u odnosu na isto izvještajno razdoblje prošle godine. Većinu prihoda čini prihod od naplate komunalne naknade.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752.516,29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700.852,32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93,1</w:t>
            </w:r>
          </w:p>
        </w:tc>
      </w:tr>
    </w:tbl>
    <w:p>
      <w:pPr>
        <w:spacing w:before="0" w:after="0"/>
      </w:pPr>
    </w:p>
    <w:p>
      <w:r>
        <w:t xml:space="preserve">Rashodi za zaposlene bilježe pad od 7 %, zbog smanjenog broj radnika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417.616,41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495.204,76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118,6</w:t>
            </w:r>
          </w:p>
        </w:tc>
      </w:tr>
    </w:tbl>
    <w:p>
      <w:pPr>
        <w:spacing w:before="0" w:after="0"/>
      </w:pPr>
    </w:p>
    <w:p>
      <w:r>
        <w:t xml:space="preserve">Materijalni rashodi bilježe rast od 19 % iz razloga isplata po sudskim presudama. Materijalni rashodi se u ostalom dijelu odnose na redovne rashode održavanja.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24.769,37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30.077,29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121,4</w:t>
            </w:r>
          </w:p>
        </w:tc>
      </w:tr>
    </w:tbl>
    <w:p>
      <w:pPr>
        <w:spacing w:before="0" w:after="0"/>
      </w:pPr>
    </w:p>
    <w:p>
      <w:r>
        <w:t xml:space="preserve">Financijski rashodi veći su u izvještajnom razdoblju za 21 % u odnosu na isto razdoblje 2025. godine, a iz razloga povećanja cijene za bankarske usluge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228.806,88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180.908,50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79,1</w:t>
            </w:r>
          </w:p>
        </w:tc>
      </w:tr>
    </w:tbl>
    <w:p>
      <w:pPr>
        <w:spacing w:before="0" w:after="0"/>
      </w:pPr>
    </w:p>
    <w:p>
      <w:r>
        <w:t xml:space="preserve">Pomoći dane u inozemstvo i unutar općeg proračuna bilježe pad od 21 %, a odnose se na redovne prijenose korisniku Dječji vrtić Ivančica.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na temelju osiguranja i druge naknade (šifre 371+372)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219.404,65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261.460,00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119,2</w:t>
            </w:r>
          </w:p>
        </w:tc>
      </w:tr>
    </w:tbl>
    <w:p>
      <w:pPr>
        <w:spacing w:before="0" w:after="0"/>
      </w:pPr>
    </w:p>
    <w:p>
      <w:r>
        <w:t xml:space="preserve">Naknade građanima i kućanstvima povećane su u odnosu na isto razdoblje prošle godine za 19€, a odnose se na planirane i isplaćene naknade građanima i kućanstvima.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donacije, kazne, naknade šteta i kapitalne pomoći (šifre 381+382+383+386)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182.151,72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191.538,33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105,2</w:t>
            </w:r>
          </w:p>
        </w:tc>
      </w:tr>
    </w:tbl>
    <w:p>
      <w:pPr>
        <w:spacing w:before="0" w:after="0"/>
      </w:pPr>
    </w:p>
    <w:p>
      <w:r>
        <w:t xml:space="preserve">Rashodi za donacije bilježe rast od 5 % u odnosu na isto razdoblje prethodne godine, a odnose se na planirane tekuće donacije udrugama građana i zajednicama koje djeluju na području Općine Čeminac.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284.554,38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404.630,15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142,2</w:t>
            </w:r>
          </w:p>
        </w:tc>
      </w:tr>
    </w:tbl>
    <w:p>
      <w:pPr>
        <w:spacing w:before="0" w:after="0"/>
      </w:pPr>
    </w:p>
    <w:p>
      <w:r>
        <w:t xml:space="preserve">Rashodi za nabavu nefinancijske imovine bilježe rast od 42 % u odnosu na isto razdoblje prethodne godine, a odnose se na planirana ulaganja u imovinu, izgradnju, opremanje, a provedba istih ide po planiranom tijeku.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94.565,01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96.759,90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102,3</w:t>
            </w:r>
          </w:p>
        </w:tc>
      </w:tr>
    </w:tbl>
    <w:p>
      <w:pPr>
        <w:spacing w:before="0" w:after="0"/>
      </w:pPr>
    </w:p>
    <w:p>
      <w:r>
        <w:t xml:space="preserve">Izdaci se odnose na redovitu otplatu dugoročnog kredita HBOR-a.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32.011,86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Dospjela obveza odnosi se na sporne račune primljene od dobavljača za koju će se još utvrđivati je li isporuka izvršena.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1.246.849,25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odnose se na:</w:t>
      </w:r>
    </w:p>
    <w:p>
      <w:r>
        <w:t xml:space="preserve">- obveze za režijske troškove i redovne rashode poslovanja</w:t>
      </w:r>
    </w:p>
    <w:p>
      <w:r>
        <w:t xml:space="preserve">-  obveze za nabavu nefinancijske imovinu</w:t>
      </w:r>
    </w:p>
    <w:p>
      <w:r>
        <w:t xml:space="preserve">-  obveze po dugoročnom kreditu HBOR-a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85edf2d3454d79" /></Relationships>
</file>