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d1bc3b04cf4338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35450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ČEMINAC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2.634.084,76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2.896.706,83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2.004.010,38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2.508.746,94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630.074,38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387.959,89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61,6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17.761,89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36.302,92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204,4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697.632,20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572.330,29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679.870,31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536.027,37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78,8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131.152,37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126.086,68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131.152,37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126.086,68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96,1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180.948,30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274.154,16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151,5</w:t>
            </w:r>
          </w:p>
        </w:tc>
      </w:tr>
    </w:tbl>
    <w:p>
      <w:pPr>
        <w:spacing w:before="0" w:after="0"/>
      </w:pPr>
    </w:p>
    <w:p>
      <w:r>
        <w:t xml:space="preserve">U izvještajnom razdoblju siječanj - prosinac 2025. godine ostvaren je manjak prihoda i primitaka, a koji manjak će se pokriti iz prenesenog viška sredstava iz prethodnih godina.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poreza (šifre 611+612+613+614+615+616)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692.650,92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802.229,68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115,8</w:t>
            </w:r>
          </w:p>
        </w:tc>
      </w:tr>
    </w:tbl>
    <w:p>
      <w:pPr>
        <w:spacing w:before="0" w:after="0"/>
      </w:pPr>
    </w:p>
    <w:p>
      <w:r>
        <w:t xml:space="preserve">Prihodi od poreza bilježe rast od 15,8  % u odnosu na 2025. godinu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940.058,21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1.096.939,26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116,7</w:t>
            </w:r>
          </w:p>
        </w:tc>
      </w:tr>
    </w:tbl>
    <w:p>
      <w:pPr>
        <w:spacing w:before="0" w:after="0"/>
      </w:pPr>
    </w:p>
    <w:p>
      <w:r>
        <w:t xml:space="preserve">Pomoći iz inozemstva i od subjekata unutar općeg proračuna bilježe rast od 16,7 % u odnosu na isto izvještajno razdoblje 2025.g.  Ostvareni su prihodi za fiskalno izravnanje i fiskalnu održivost dječjeg vrtića, zatim su ostvareni prihodi na kapitalna ulaganja te provedbu programa Zaželi i programa sufinanciranja zapošljavanja u javnim radovima za dva djelatnika.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imovine (šifre 641+642+643)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203.478,23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226.170,67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111,2</w:t>
            </w:r>
          </w:p>
        </w:tc>
      </w:tr>
    </w:tbl>
    <w:p>
      <w:pPr>
        <w:spacing w:before="0" w:after="0"/>
      </w:pPr>
    </w:p>
    <w:p>
      <w:r>
        <w:t xml:space="preserve">Prihodi od imovine bilježe rast od 11,2 % u odnosu na prethodno izvještajno razdoblje. Većinom se odnosi na prihode od zakupa i iznajmljivanja imovine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780.302,98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764.383,32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98,0</w:t>
            </w:r>
          </w:p>
        </w:tc>
      </w:tr>
    </w:tbl>
    <w:p>
      <w:pPr>
        <w:spacing w:before="0" w:after="0"/>
      </w:pPr>
    </w:p>
    <w:p>
      <w:r>
        <w:t xml:space="preserve">Prihodi od upravnih i administrativnih pristojbi, pristojbi po posebnim propisima i naknadama uprihodovani su za 2 % manje u odnosu na isto izvještajno razdoblje prošle godine. Većinu prihoda čini prihod od naplate komunalne naknade.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709.647,35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1.008.680,66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142,1</w:t>
            </w:r>
          </w:p>
        </w:tc>
      </w:tr>
    </w:tbl>
    <w:p>
      <w:pPr>
        <w:spacing w:before="0" w:after="0"/>
      </w:pPr>
    </w:p>
    <w:p>
      <w:r>
        <w:t xml:space="preserve">Rashodi za zaposlene bilježe rast od 42,1 % iz razloga dodatnog zapošljavanja sezonskih komunalnih radnika, usklađivanja koeficijenta i osnovice, te zbog isplaćene otpremnine.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570.754,77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571.693,06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100,2</w:t>
            </w:r>
          </w:p>
        </w:tc>
      </w:tr>
    </w:tbl>
    <w:p>
      <w:pPr>
        <w:spacing w:before="0" w:after="0"/>
      </w:pPr>
    </w:p>
    <w:p>
      <w:r>
        <w:t xml:space="preserve">Materijalni rashodi se u najvećem dijelu odnose na materijal i usluge za održavanje.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rashodi (šifre 341+342+343)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40.553,46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33.392,92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82,3</w:t>
            </w:r>
          </w:p>
        </w:tc>
      </w:tr>
    </w:tbl>
    <w:p>
      <w:pPr>
        <w:spacing w:before="0" w:after="0"/>
      </w:pPr>
    </w:p>
    <w:p>
      <w:r>
        <w:t xml:space="preserve">Financijski rashodi manji su u izvještajnom razdoblju za 17,7 % u odnosu na isto razdoblje 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dane u inozemstvo i unutar općeg proračuna (šifre 361+362+363+365+366+367+368+369)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167.856,96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289.585,30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172,5</w:t>
            </w:r>
          </w:p>
        </w:tc>
      </w:tr>
    </w:tbl>
    <w:p>
      <w:pPr>
        <w:spacing w:before="0" w:after="0"/>
      </w:pPr>
    </w:p>
    <w:p>
      <w:r>
        <w:t xml:space="preserve">Pomoći dane u inozemstvo i unutar općeg proračuna bilježe rast od 72,5 %, a odnose se na redovne prijenose korisniku Dječji vrtić Ivančica, a povećani su zbog isplate plaće po sudskoj presudi, te zbog usklađenja koeficijenta obračuna plaće.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na temelju osiguranja i druge naknade (šifre 371+372)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357.694,55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400.160,46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111,9</w:t>
            </w:r>
          </w:p>
        </w:tc>
      </w:tr>
    </w:tbl>
    <w:p>
      <w:pPr>
        <w:spacing w:before="0" w:after="0"/>
      </w:pPr>
    </w:p>
    <w:p>
      <w:r>
        <w:t xml:space="preserve">Naknade građanima i kućanstvima bilježe rast u odnosu na prošlogodišnje razdoblje, a odnose se na planirane isplaćene naknade građanima i kućanstvima.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donacije, kazne, naknade šteta i kapitalne pomoći (šifre 381+382+383+386)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151.253,29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192.734,54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127,4</w:t>
            </w:r>
          </w:p>
        </w:tc>
      </w:tr>
    </w:tbl>
    <w:p>
      <w:pPr>
        <w:spacing w:before="0" w:after="0"/>
      </w:pPr>
    </w:p>
    <w:p>
      <w:r>
        <w:t xml:space="preserve">Rashodi za donacije bilježe rast od 27,4 % u odnosu na isto razdoblje prethodne godine, a odnose se na planirane tekuće donacije udrugama građana i zajednicama koje djeluju na području Općine Čeminac.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697.632,20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572.330,29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82,0</w:t>
            </w:r>
          </w:p>
        </w:tc>
      </w:tr>
    </w:tbl>
    <w:p>
      <w:pPr>
        <w:spacing w:before="0" w:after="0"/>
      </w:pPr>
    </w:p>
    <w:p>
      <w:r>
        <w:t xml:space="preserve">Rashodi za nabavu nefinancijske imovine bilježe pad od 18 % u odnosu na isto razdoblje prethodne godine, a odnose se na planirana ulaganja u imovinu, izgradnju, opremanje, a provedba istih ide po planiranom tijeku.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131.152,37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126.086,68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96,1</w:t>
            </w:r>
          </w:p>
        </w:tc>
      </w:tr>
    </w:tbl>
    <w:p>
      <w:pPr>
        <w:spacing w:before="0" w:after="0"/>
      </w:pPr>
    </w:p>
    <w:p>
      <w:r>
        <w:t xml:space="preserve">Izdaci se odnose na redovitu otplatu dugoročnog kredita HBOR-a.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IMOVINA (šifre B002+1)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6.245.774,28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6.579.047,16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105,3</w:t>
            </w:r>
          </w:p>
        </w:tc>
      </w:tr>
    </w:tbl>
    <w:p>
      <w:pPr>
        <w:spacing w:before="0" w:after="0"/>
      </w:pPr>
    </w:p>
    <w:p>
      <w:r>
        <w:t xml:space="preserve">Bilješka uz šifru B001 – Imovina se sastoji od Neproizvedene dugotrajne imovine, Proizvedene dugotrajne imovine, Sitnog inventara, Dugotrajne nefinancijske imovine u pripremi, Financijske imovine, Potraživanja za dane zajmove, Dionice i udjele u glavnici, Potraživanja za prihode poslovanja.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I VLASTITI IZVORI (šifre 2+9)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6.245.774,28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6.579.047,16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105,3</w:t>
            </w:r>
          </w:p>
        </w:tc>
      </w:tr>
    </w:tbl>
    <w:p>
      <w:pPr>
        <w:spacing w:before="0" w:after="0"/>
      </w:pPr>
    </w:p>
    <w:p>
      <w:r>
        <w:t xml:space="preserve">Bilješka uz šifru B003 – Obveze i vlastiti izvori sastoje se od Obveza za rashode poslovanja, nabavu nefinancijske imovine, obveze za kredite i zajmove, Vlastitih izvora iz proračuna te Viška prihoda poslovanja.</w:t>
      </w:r>
    </w:p>
    <w:p>
      <w:r>
        <w:t xml:space="preserve"> </w:t>
      </w:r>
    </w:p>
    <w:p>
      <w:r>
        <w:t xml:space="preserve">U Bilancu su uneseni podaci iz Glavne knjige. Jednakosti među pojedinim pozicijama Bilance proizlaze iz propisanih knjigovodstvenih evidencija tako da je Šifra B001 Imovina = Šifra B003 Obveze + Vlastiti izvori.</w:t>
      </w:r>
    </w:p>
    <w:p>
      <w:r>
        <w:t xml:space="preserve">Za ispravak vrijednosti dugotrajne imovine korištene su stope propisane prema važećem Pravilniku o računovodstvu i računskom planu za proračune.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379.730,33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izvještaju o promjenama u vrijednosti i obujmu imovine i obaveza iskazani su događaji koji utječu na neto vrijednost koji nisu direktna posljedica transakcija iskazanih u prihodima i rashodima.</w:t>
      </w:r>
    </w:p>
    <w:p>
      <w:r>
        <w:t xml:space="preserve"> </w:t>
      </w:r>
    </w:p>
    <w:p>
      <w:r>
        <w:t xml:space="preserve">Bilješke uz šifru 9151 – Promjene u vrijednosti i obujmu imovine odnose se na redoviti ispravak vrijednosti osnovnih sredstava.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64.957,50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Dospjela obveza odnosi se na sporne račune primljene od dobavljača za koju će se još utvrđivati jeli usluga izvršena.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1.164.382,06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Nedospjele obveze odnose se na:</w:t>
      </w:r>
    </w:p>
    <w:p>
      <w:r>
        <w:t xml:space="preserve">- obveze za režijske troškove i redovne rashode poslovanja</w:t>
      </w:r>
    </w:p>
    <w:p>
      <w:r>
        <w:t xml:space="preserve">-  obveze za nabavu nefinancijske imovinu</w:t>
      </w:r>
    </w:p>
    <w:p>
      <w:pPr>
        <w:pStyle w:val="ListParagraph"/>
        <w:numPr>
          <w:ilvl w:val="0"/>
          <w:numId w:val="2"/>
        </w:numPr>
      </w:pPr>
      <w:r>
        <w:t xml:space="preserve">obveze po dugoročnom kreditu HBOR-a</w:t>
      </w:r>
    </w:p>
    <w:p/>
  </w:body>
</w:document>
</file>

<file path=word/numbering.xml><?xml version="1.0" encoding="utf-8"?>
<w:numbering xmlns:w="http://schemas.openxmlformats.org/wordprocessingml/2006/main">
  <w:abstractNum w:abstractNumId="1">
    <w:multiLevelType w:val="hybridMultilevel"/>
    <w:name w:val="disc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  <w:style xmlns:w="http://schemas.openxmlformats.org/wordprocessingml/2006/main" w:type="paragraph" w:styleId="ListParagraph">
    <w:name w:val="List Paragraph"/>
    <w:next w:val="List Paragraph"/>
    <w:pPr>
      <w:keepNext w:val="0"/>
      <w:keepLines w:val="0"/>
      <w:spacing w:before="0" w:after="0" w:line="240" w:lineRule="auto"/>
      <w:ind w:start="720" w:end="0" w:firstLine="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a6128b95cd42f4" /><Relationship Type="http://schemas.openxmlformats.org/officeDocument/2006/relationships/numbering" Target="/word/numbering.xml" Id="R353cfe30197140b6" /></Relationships>
</file>