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76c24f5f549a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710.067,74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696.849,61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591.275,46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814.437,61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117.588,00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49.155,39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130.240,28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66.621,11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130.240,28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279.349,95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siječanj - ožujak 2026. godine ostvaren je manjak prihoda i primitaka, a koji manjak će se pokriti iz budućih očekivanih prihoda.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262.429,79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228.962,39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87,2</w:t>
            </w:r>
          </w:p>
        </w:tc>
      </w:tr>
    </w:tbl>
    <w:p>
      <w:pPr>
        <w:spacing w:before="0" w:after="0"/>
      </w:pPr>
    </w:p>
    <w:p>
      <w:r>
        <w:t xml:space="preserve">Prihodi od poreza bilježe pad od 13  %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241.152,18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261.671,37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bilježe rast od 8 % u odnosu na isto izvještajno razdoblje 2025.g.  Ostvareni su prihodi za fiskalno izravnanje i fiskalnu održivost dječjeg vrtića, zatim su ostvareni prihodi na kapitalna ulaganja te provedbu programa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8.040,98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Prihodi od imovine bilježe rast od 12 % u odnosu na prethodno izvještajno razdoblje. Većinom se odnosi na prihode od zakupa i iznajmljivanja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197.511,32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196.952,33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ostvareni su istom omjeru kao i u istom izvještajnom razdoblju prošle godine. Većinu prihoda čini prihod od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238.658,08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218.994,72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91,8</w:t>
            </w:r>
          </w:p>
        </w:tc>
      </w:tr>
    </w:tbl>
    <w:p>
      <w:pPr>
        <w:spacing w:before="0" w:after="0"/>
      </w:pPr>
    </w:p>
    <w:p>
      <w:r>
        <w:t xml:space="preserve">Rashodi za zaposlene bilježe pad od 8 %. Rashodi se odnose na prosječno 59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115.231,52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225.925,03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196,1</w:t>
            </w:r>
          </w:p>
        </w:tc>
      </w:tr>
    </w:tbl>
    <w:p>
      <w:pPr>
        <w:spacing w:before="0" w:after="0"/>
      </w:pPr>
    </w:p>
    <w:p>
      <w:r>
        <w:t xml:space="preserve">Materijalni rashodi se u najvećem dijelu odnose na materijal i usluge za održavanje, a bilježe rast zbog troškova sudskih postupaka i isplata po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8.282,85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10.462,96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126,3</w:t>
            </w:r>
          </w:p>
        </w:tc>
      </w:tr>
    </w:tbl>
    <w:p>
      <w:pPr>
        <w:spacing w:before="0" w:after="0"/>
      </w:pPr>
    </w:p>
    <w:p>
      <w:r>
        <w:t xml:space="preserve">Financijski rashodi povešani su u izvještajnom razdoblju za 26% u odnosu na isto razdoblje 2025. godine zbog povećanja cijena bankarskih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61.391,32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71,8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bilježe pad od 28 %, a odnose se na redovne prijenose korisniku Dječji vrtić Ivančica koji su  smanjeni (u 2025. godini je bila isplata plaće po sudskoj presudi) ali u skladu sa financijskim planom.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63.995,25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125.847,01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196,7</w:t>
            </w:r>
          </w:p>
        </w:tc>
      </w:tr>
    </w:tbl>
    <w:p>
      <w:pPr>
        <w:spacing w:before="0" w:after="0"/>
      </w:pPr>
    </w:p>
    <w:p>
      <w:r>
        <w:t xml:space="preserve">Naknade građanima i kućanstvima bilježe rast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79.637,28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171.816,57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215,7</w:t>
            </w:r>
          </w:p>
        </w:tc>
      </w:tr>
    </w:tbl>
    <w:p>
      <w:pPr>
        <w:spacing w:before="0" w:after="0"/>
      </w:pPr>
    </w:p>
    <w:p>
      <w:r>
        <w:t xml:space="preserve">Rashodi za donacije bilježe rast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130.240,28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rast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Dospjela obveza odnosi se na sporne račune primljene od dobavljača za koju će se još utvrđivati jeli isporuka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1.378.686,50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na:</w:t>
      </w:r>
    </w:p>
    <w:p>
      <w:r>
        <w:t xml:space="preserve">- obveze za režijske troškove i redovne rashode poslovanja</w:t>
      </w:r>
    </w:p>
    <w:p>
      <w:r>
        <w:t xml:space="preserve">-  obveze za nabavu nefinancijske imovinu</w:t>
      </w:r>
    </w:p>
    <w:p>
      <w:r>
        <w:t xml:space="preserve">-  obveze po dugoročnom kreditu HBOR-a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98726bcf640cc" /></Relationships>
</file>