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116620112947a8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35450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OPĆINA ČEMINAC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22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>I - IX 2025.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1.681.097,95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1.906.648,05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113,4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1.307.188,94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1.834.315,32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140,3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373.909,01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72.332,73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19,3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12.812,83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32.084,07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250,4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478.419,17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284.554,38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59,5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465.606,34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252.470,31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54,2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96.331,70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94.565,01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PRIMITAKA OD FINANCIJSKE IMOVINE I ZADUŽIVANJA (šifre 5-8)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96.331,70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94.565,01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98,2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188.029,03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274.702,59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146,1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U izvještajnom razdoblju siječanj - rujan 2025. godine ostvaren je manjak prihoda i primitaka, a koji manjak nije planiran i pokriti će se  u narednom periodu tekuće godine.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poreza (šifre 611+612+613+614+615+616)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483.451,94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558.133,37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115,4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poreza bilježe rast od 15,4  % u odnosu na 2024. godinu zbog povećanog broja zaposlenih na području općine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iz inozemstva i od subjekata unutar općeg proračuna (šifre 631+632+633+634+635+636+637+638+639)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555.133,78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736.478,78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132,7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Pomoći iz inozemstva i od subjekata unutar općeg proračuna bilježe rast od 32 % u odnosu na isto izvještajno razdoblje 2024.g.  Ostvareni su prihodi za fiskalno izravnanje, za fiskalnu održivost dječjeg vrtića, provedbu programa Zaželi, te programa sufinanciranja zapošljavanja u javnim radovima za dva djelatnika.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imovine (šifre 641+642+643)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35.224,60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30.182,56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85,7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imovine bilježe pad od 14,3 % u odnosu na prethodno izvještajno razdoblje. Većinom se odnosi na pad prihoda od zakupa i iznajmljivanja imovine.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upravnih i administrativnih pristojbi, pristojbi po posebnim propisima i naknada (šifre 651+652+653+654)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594.323,44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574.869,44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Prihodi od upravnih i administrativnih pristojbi, pristojbi po posebnim propisima i naknadama ostvareni su za neznatnih 3,3 % manje u odnosu na isto izvještajno razdoblje prošle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479.271,21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752.516,29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157,0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zaposlene bilježe rast od 57 % iz razloga dodatnog zapošljavanja sezonskih komunalnih radnika, te zbog isplaćene otpremnine.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Materijalni rashodi (šifre 321+322+323+324+325+329)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335.644,37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417.616,41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124,4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Materijalni rashodi bilježe rast od 24,4 %, u najvećem dijelu rast se odnosi na materijal i usluge za održavanje.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Financijski rashodi (šifre 341+342+343)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27.201,93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24.769,37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91,1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Financijski rashodi manji su u izvještajnom razdoblju za 8,9 % u odnosu na isto razdoblje 2024. godine.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Pomoći dane u inozemstvo i unutar općeg proračuna (šifre 361+362+363+365+366+367+368+369)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119.573,97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228.806,88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191,4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Pomoći dane u inozemstvo i unutar općeg proračuna bilježe rast od 91,4 %, a odnose se na redovne prijenose korisniku Dječji vrtić Ivančica, a povećani su zbog isplate plaće po sudskoj presudi, te zbog povećanja osnovice za obračun plaća temeljeno na prihvaćenom planu.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Naknade građanima i kućanstvima na temelju osiguranja i druge naknade (šifre 371+372)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222.371,63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219.404,65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98,7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Naknade građanima i kućanstvima bilježe pad u odnosu na prošlogodišnje razdoblje, a odnose se na planirane isplaćene naknade građanima i kućanstvima.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donacije, kazne, naknade šteta i kapitalne pomoći (šifre 381+382+383+386)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123.125,83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182.151,72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147,9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donacije bilježe rast od 47,9 % u odnosu na isto razdoblje prethodne godine, a odnose se na planirane tekuće donacije udrugama građana i zajednicama koje djeluju na području Općine Čeminac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478.419,17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284.554,38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59,5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Rashodi za nabavu nefinancijske imovine bilježe pad od 40,5 % u odnosu na isto razdoblje prethodne godine, a odnose se na planirana ulaganja u imovinu, izgradnju, opremanje, a provedba istih ide po planiranom tijeku.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96.331,70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94.565,01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98,2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Izdaci se odnose na redovitu otplatu dugoročnog kredita HBOR-a.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Nema dospjelih obveza.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rashode poslovanja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ND23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156.106,22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Nedospjele obveze odnose se na plaću za zaposlene za 09/2025 i redovne režijske i materijalne obveze.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>Bilješka 16.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financijsku imovinu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ND dio 25,26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1.040.214,99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pPr>
        <w:jc w:val="both"/>
        <w:pStyle w:val="Normal"/>
        <w:spacing w:line="240" w:lineRule="auto"/>
      </w:pPr>
      <w:r>
        <w:rPr>
          <w:sz w:val="24"/>
          <w:rFonts w:ascii="Times New Roman" w:hAnsi="Times New Roman"/>
        </w:rPr>
        <w:t>Odnosi se na dugoročni kredit HBOR-a.</w:t>
      </w:r>
    </w:p>
    <w:p/>
  </w:body>
</w:document>
</file>

<file path=word/styles.xml><?xml version="1.0" encoding="utf-8"?>
<w:styles xmlns:w="http://schemas.openxmlformats.org/wordprocessingml/2006/main"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e1306cfc4a44641" /></Relationships>
</file>