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71ae4844cf4a71" /></Relationships>
</file>

<file path=word/document.xml><?xml version="1.0" encoding="utf-8"?>
<w:document xmlns:w="http://schemas.openxmlformats.org/wordprocessingml/2006/main">
  <w:body>
    <w:tbl>
      <w:tblPr>
        <w:tblW w:w="9000" w:type="dxa"/>
        <w:tblBorders>
          <w:top w:val="nil"/>
          <w:bottom w:val="nil"/>
          <w:left w:val="nil"/>
          <w:right w:val="nil"/>
          <w:insideH w:val="nil"/>
          <w:insideV w:val="nil"/>
        </w:tblBorders>
        <w:tblCellSpacing w:w="60" w:type="dxa"/>
        <w:shd w:val="clear" w:color="auto" w:fill="E7F0F9"/>
      </w:tblPr>
      <w:tblGrid>
        <w:gridCol w:w="1200"/>
        <w:gridCol w:w="4500"/>
      </w:tblGrid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RKP broj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35450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Naziv obveznika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OPĆINA ČEMINAC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Razina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23</w:t>
            </w:r>
          </w:p>
        </w:tc>
      </w:tr>
    </w:tbl>
    <w:p>
      <w:r>
        <w:br/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>BILJEŠKE UZ FINANCIJSKE IZVJEŠTAJE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>ZA RAZDOBLJE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>I - VI 2025.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>Izvještaj o prihodima i rashodima, primicima i izdacima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>Bilješka 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0" w:type="auto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POSLOVANJA (šifre 61+62+63+64+65+66+67+68)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1.119.838,08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1.295.225,13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115,7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POSLOVANJA (šifre 31+32+34+35+36+37+38)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835.064,92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1.327.855,87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159,0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PRIHODA POSLOVANJA (šifre Z005-6)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32.630,74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prodaje nefinancijske imovine (šifre 71+72+73+74)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9.677,08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53.329,65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551,1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nabavu nefinancijske imovine (šifre 41+42+43+44+45)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289.854,68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225.075,48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77,7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PRIHODA OD NEFINANCIJSKE IMOVINE (šifre 4-7)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280.177,60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171.745,83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61,3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Primici od financijske imovine i zaduživanja (šifre 81+82+83+84+85)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Izdaci za financijsku imovinu i otplate zajmova (šifre 51+52+53+54+55)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64.776,38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63.043,34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97,3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PRIMITAKA OD FINANCIJSKE IMOVINE I ZADUŽIVANJA (šifre 5-8)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64.776,38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63.043,34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97,3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PRIHODA I PRIMITAKA (šifre Y345-X678)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60.180,82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267.419,91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444,4</w:t>
            </w:r>
          </w:p>
        </w:tc>
      </w:tr>
    </w:tbl>
    <w:p>
      <w:pPr>
        <w:spacing w:before="0" w:after="0"/>
      </w:pPr>
    </w:p>
    <w:p>
      <w:pPr>
        <w:jc w:val="both"/>
        <w:pStyle w:val="Normal"/>
        <w:spacing w:line="240" w:lineRule="auto"/>
      </w:pPr>
      <w:r>
        <w:rPr>
          <w:sz w:val="24"/>
          <w:rFonts w:ascii="Times New Roman" w:hAnsi="Times New Roman"/>
        </w:rPr>
        <w:t>U izvještajnom razdoblju siječanj - lipanj 2025. godine ostvaren je manjak prihoda i primitaka, a koji manjak nije planiran i pokriti će se  u narednom periodu tekuće godine.</w:t>
      </w:r>
    </w:p>
    <w:p>
      <w:r>
        <w:br/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>Bilješka 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poreza (šifre 611+612+613+614+615+616)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282.959,45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337.701,19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119,3</w:t>
            </w:r>
          </w:p>
        </w:tc>
      </w:tr>
    </w:tbl>
    <w:p>
      <w:pPr>
        <w:spacing w:before="0" w:after="0"/>
      </w:pPr>
    </w:p>
    <w:p>
      <w:pPr>
        <w:jc w:val="both"/>
        <w:pStyle w:val="Normal"/>
        <w:spacing w:line="240" w:lineRule="auto"/>
      </w:pPr>
      <w:r>
        <w:rPr>
          <w:sz w:val="24"/>
          <w:rFonts w:ascii="Times New Roman" w:hAnsi="Times New Roman"/>
        </w:rPr>
        <w:t>Prihodi od poreza bilježe rast od 19,3  % u odnosu na 2024. godinu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>Bilješka 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Pomoći iz inozemstva i od subjekata unutar općeg proračuna (šifre 631+632+633+634+635+636+637+638+639)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366.455,39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505.846,37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138,0</w:t>
            </w:r>
          </w:p>
        </w:tc>
      </w:tr>
    </w:tbl>
    <w:p>
      <w:pPr>
        <w:spacing w:before="0" w:after="0"/>
      </w:pPr>
    </w:p>
    <w:p>
      <w:pPr>
        <w:jc w:val="both"/>
        <w:pStyle w:val="Normal"/>
        <w:spacing w:line="240" w:lineRule="auto"/>
      </w:pPr>
      <w:r>
        <w:rPr>
          <w:sz w:val="24"/>
          <w:rFonts w:ascii="Times New Roman" w:hAnsi="Times New Roman"/>
        </w:rPr>
        <w:t>Pomoći iz inozemstva i od subjekata unutar općeg proračuna  odnose se na tekuće i kapitalne pomoći za provođenje projekata te tekuće pomoći korisnicima iz proračuna koji im nije nadležan. Navedeni prihodi su veći za 38% u odnosu na prošlu godinu 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>Bilješka 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imovine (šifre 641+642+643)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32.457,97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26.525,63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81,7</w:t>
            </w:r>
          </w:p>
        </w:tc>
      </w:tr>
    </w:tbl>
    <w:p>
      <w:pPr>
        <w:spacing w:before="0" w:after="0"/>
      </w:pPr>
    </w:p>
    <w:p>
      <w:pPr>
        <w:jc w:val="both"/>
        <w:pStyle w:val="Normal"/>
        <w:spacing w:line="240" w:lineRule="auto"/>
      </w:pPr>
      <w:r>
        <w:rPr>
          <w:sz w:val="24"/>
          <w:rFonts w:ascii="Times New Roman" w:hAnsi="Times New Roman"/>
        </w:rPr>
        <w:t>Prihodi od imovine većinom se odnosi na prihoda od zakupa i iznajmljivanja imovine, te na prihode od naknada za ceste te su u odnosu na prošlu godinu izvršeni manje za 18,3 %. 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>Bilješka 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upravnih i administrativnih pristojbi, pristojbi po posebnim propisima i naknada (šifre 651+652+653+654)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425.466,37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420.145,26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98,7</w:t>
            </w:r>
          </w:p>
        </w:tc>
      </w:tr>
    </w:tbl>
    <w:p>
      <w:pPr>
        <w:spacing w:before="0" w:after="0"/>
      </w:pPr>
    </w:p>
    <w:p>
      <w:pPr>
        <w:jc w:val="both"/>
        <w:pStyle w:val="Normal"/>
        <w:spacing w:line="240" w:lineRule="auto"/>
      </w:pPr>
      <w:r>
        <w:rPr>
          <w:sz w:val="24"/>
          <w:rFonts w:ascii="Times New Roman" w:hAnsi="Times New Roman"/>
        </w:rPr>
        <w:t>Prihodi od upravnih i administrativnih pristojbi, pristojbi po posebnim propisima i naknadama, odnosi se većinom na naplatu komunalne naknade, participacija na korištenje vrtića, te su isti ostvareni u nešto manjem opsegu nego prošle godine 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>Bilješka 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zaposlene (šifre 311+312+313)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346.594,03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651.724,89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188,0</w:t>
            </w:r>
          </w:p>
        </w:tc>
      </w:tr>
    </w:tbl>
    <w:p>
      <w:pPr>
        <w:spacing w:before="0" w:after="0"/>
      </w:pPr>
    </w:p>
    <w:p>
      <w:pPr>
        <w:jc w:val="both"/>
        <w:pStyle w:val="Normal"/>
        <w:spacing w:line="240" w:lineRule="auto"/>
      </w:pPr>
      <w:r>
        <w:rPr>
          <w:sz w:val="24"/>
          <w:rFonts w:ascii="Times New Roman" w:hAnsi="Times New Roman"/>
        </w:rPr>
        <w:t>Rashodi za zaposlene bilježe rast od 88 % iz razloga dodatnog zapošljavanja sezonskih komunalnih radnika, te zbog isplaćene otpremnine, plaće po sudskoj presudi, povećanje koeficijenata i osnovice.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>Bilješka 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Materijalni rashodi (šifre 321+322+323+324+325+329)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238.607,83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305.559,59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128,1</w:t>
            </w:r>
          </w:p>
        </w:tc>
      </w:tr>
    </w:tbl>
    <w:p>
      <w:pPr>
        <w:spacing w:before="0" w:after="0"/>
      </w:pPr>
    </w:p>
    <w:p>
      <w:pPr>
        <w:jc w:val="both"/>
        <w:pStyle w:val="Normal"/>
        <w:spacing w:line="240" w:lineRule="auto"/>
      </w:pPr>
      <w:r>
        <w:rPr>
          <w:sz w:val="24"/>
          <w:rFonts w:ascii="Times New Roman" w:hAnsi="Times New Roman"/>
        </w:rPr>
        <w:t>Materijalni rashodi bilježe rast od 28,1 %, u najvećem dijelu rast se odnosi na materijal i usluge za održavanje.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>Bilješka 8.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Financijski rashodi (šifre 341+342+343)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18.028,59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17.009,93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94,3</w:t>
            </w:r>
          </w:p>
        </w:tc>
      </w:tr>
    </w:tbl>
    <w:p>
      <w:pPr>
        <w:spacing w:before="0" w:after="0"/>
      </w:pPr>
    </w:p>
    <w:p>
      <w:pPr>
        <w:jc w:val="both"/>
        <w:pStyle w:val="Normal"/>
        <w:spacing w:line="240" w:lineRule="auto"/>
      </w:pPr>
      <w:r>
        <w:rPr>
          <w:sz w:val="24"/>
          <w:rFonts w:ascii="Times New Roman" w:hAnsi="Times New Roman"/>
        </w:rPr>
        <w:t>Financijski rashodi manji su u izvještajnom razdoblju za 5,7 % u odnosu na isto razdoblje 2024. godine.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>Bilješka 9.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Naknade građanima i kućanstvima na temelju osiguranja i druge naknade (šifre 371+372)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162.056,50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190.865,91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117,8</w:t>
            </w:r>
          </w:p>
        </w:tc>
      </w:tr>
    </w:tbl>
    <w:p>
      <w:pPr>
        <w:spacing w:before="0" w:after="0"/>
      </w:pPr>
    </w:p>
    <w:p>
      <w:pPr>
        <w:jc w:val="both"/>
        <w:pStyle w:val="Normal"/>
        <w:spacing w:line="240" w:lineRule="auto"/>
      </w:pPr>
      <w:r>
        <w:rPr>
          <w:sz w:val="24"/>
          <w:rFonts w:ascii="Times New Roman" w:hAnsi="Times New Roman"/>
        </w:rPr>
        <w:t>Naknade građanima i kućanstvima bilježe rast u odnosu na prošlogodišnje razdoblje, a odnose se na planirane isplaćene naknade građanima i kućanstvima.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>Bilješka 10.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donacije, kazne, naknade šteta i kapitalne pomoći (šifre 381+382+383+386)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69.777,97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153.645,55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220,2</w:t>
            </w:r>
          </w:p>
        </w:tc>
      </w:tr>
    </w:tbl>
    <w:p>
      <w:pPr>
        <w:spacing w:before="0" w:after="0"/>
      </w:pPr>
    </w:p>
    <w:p>
      <w:pPr>
        <w:jc w:val="both"/>
        <w:pStyle w:val="Normal"/>
        <w:spacing w:line="240" w:lineRule="auto"/>
      </w:pPr>
      <w:r>
        <w:rPr>
          <w:sz w:val="24"/>
          <w:rFonts w:ascii="Times New Roman" w:hAnsi="Times New Roman"/>
        </w:rPr>
        <w:t>Rashodi za donacije bilježe rast od 120 % u odnosu na isto razdoblje prethodne godine, a odnose se na planirane tekuće donacije udrugama građana i zajednicama koje djeluju na području Općine Čeminac.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>Bilješka 11.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nabavu nefinancijske imovine (šifre 41+42+43+44+45)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289.854,68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225.075,48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77,7</w:t>
            </w:r>
          </w:p>
        </w:tc>
      </w:tr>
    </w:tbl>
    <w:p>
      <w:pPr>
        <w:spacing w:before="0" w:after="0"/>
      </w:pPr>
    </w:p>
    <w:p>
      <w:pPr>
        <w:jc w:val="both"/>
        <w:pStyle w:val="Normal"/>
        <w:spacing w:line="240" w:lineRule="auto"/>
      </w:pPr>
      <w:r>
        <w:rPr>
          <w:sz w:val="24"/>
          <w:rFonts w:ascii="Times New Roman" w:hAnsi="Times New Roman"/>
        </w:rPr>
        <w:t>Rashodi za nabavu nefinancijske imovine bilježe pad od 22,3 % u odnosu na isto razdoblje prethodne godine, a odnose se na planirana ulaganja u imovinu, izgradnju, opremanje, a provedba istih ide po planiranom tijeku.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>Bilješka 12.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Izdaci za financijsku imovinu i otplate zajmova (šifre 51+52+53+54+55)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64.776,38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63.043,34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97,3</w:t>
            </w:r>
          </w:p>
        </w:tc>
      </w:tr>
    </w:tbl>
    <w:p>
      <w:pPr>
        <w:spacing w:before="0" w:after="0"/>
      </w:pPr>
    </w:p>
    <w:p>
      <w:pPr>
        <w:jc w:val="both"/>
        <w:pStyle w:val="Normal"/>
        <w:spacing w:line="240" w:lineRule="auto"/>
      </w:pPr>
      <w:r>
        <w:rPr>
          <w:sz w:val="24"/>
          <w:rFonts w:ascii="Times New Roman" w:hAnsi="Times New Roman"/>
        </w:rPr>
        <w:t>Izdaci se odnose na redovitu otplatu dugoročnog kredita HBOR-a.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>Izvještaj o obvezama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>Bilješka 13.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dospjelih obveza na kraju izvještajnog razdoblja (šifre V008+D23+D24 + 'D dio 25,26' + D27)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V007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182.789,87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pPr>
        <w:jc w:val="both"/>
        <w:pStyle w:val="Normal"/>
        <w:spacing w:line="240" w:lineRule="auto"/>
      </w:pPr>
      <w:r>
        <w:rPr>
          <w:sz w:val="24"/>
          <w:rFonts w:ascii="Times New Roman" w:hAnsi="Times New Roman"/>
        </w:rPr>
        <w:t>Dospjela obveza odnosi se na više naplaćenu komunalnu naknadu, koju je Općina po presudi dužna vratiti obvezniku i plan je do kraja godine izvršiti povrat.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>Bilješka 14.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Obveze za rashode poslovanja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ND23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180.264,73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pPr>
        <w:jc w:val="both"/>
        <w:pStyle w:val="Normal"/>
        <w:spacing w:line="240" w:lineRule="auto"/>
      </w:pPr>
      <w:r>
        <w:rPr>
          <w:sz w:val="24"/>
          <w:rFonts w:ascii="Times New Roman" w:hAnsi="Times New Roman"/>
        </w:rPr>
        <w:t>Nedospjele obveze odnose se na plaću za zaposlene za 06/2025 i redovne režijske i materijalne obveze.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>Bilješka 15.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dio 25,26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Obveze za financijsku imovinu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ND dio 25,26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1.134.780,00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pPr>
        <w:jc w:val="both"/>
        <w:pStyle w:val="Normal"/>
        <w:spacing w:line="240" w:lineRule="auto"/>
      </w:pPr>
      <w:r>
        <w:rPr>
          <w:sz w:val="24"/>
          <w:rFonts w:ascii="Times New Roman" w:hAnsi="Times New Roman"/>
        </w:rPr>
        <w:t>Odnosi se na dugoročni kredit HBOR-a.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>Bilješka 16.</w:t>
      </w:r>
    </w:p>
    <w:p>
      <w:pPr>
        <w:jc w:val="both"/>
        <w:pStyle w:val="Normal"/>
        <w:spacing w:line="240" w:lineRule="auto"/>
      </w:pPr>
      <w:r>
        <w:rPr>
          <w:b/>
          <w:sz w:val="24"/>
          <w:rFonts w:ascii="Times New Roman" w:hAnsi="Times New Roman"/>
        </w:rPr>
        <w:t>Unutargrupne transakcije koje su u izvještajima eliminirane</w:t>
      </w:r>
    </w:p>
    <w:p>
      <w:pPr>
        <w:jc w:val="both"/>
        <w:pStyle w:val="Normal"/>
        <w:spacing w:line="240" w:lineRule="auto"/>
      </w:pPr>
      <w:r>
        <w:rPr>
          <w:sz w:val="24"/>
          <w:rFonts w:ascii="Times New Roman" w:hAnsi="Times New Roman"/>
        </w:rPr>
        <w:t>U izvještajnom razdoblju eliminirani su redovni prijenosi korisniku Dječji vrtić Ivančica u iznosu od 169.048,28€.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>Bilješka 17.</w:t>
      </w:r>
    </w:p>
    <w:p>
      <w:pPr>
        <w:jc w:val="both"/>
        <w:pStyle w:val="Normal"/>
        <w:spacing w:line="240" w:lineRule="auto"/>
      </w:pPr>
      <w:r>
        <w:rPr>
          <w:b/>
          <w:sz w:val="24"/>
          <w:rFonts w:ascii="Times New Roman" w:hAnsi="Times New Roman"/>
        </w:rPr>
        <w:t>Manjak ili višak u poslovanju grupe i pregled strukture manjka/viška po proračunskim korisnicima </w:t>
      </w:r>
    </w:p>
    <w:p>
      <w:pPr>
        <w:jc w:val="both"/>
        <w:pStyle w:val="Normal"/>
        <w:spacing w:line="240" w:lineRule="auto"/>
      </w:pPr>
      <w:r>
        <w:rPr>
          <w:sz w:val="24"/>
          <w:rFonts w:ascii="Times New Roman" w:hAnsi="Times New Roman"/>
        </w:rPr>
        <w:t>Unutar poslovanja grupe ostvaren je manjak prihoda nad ostvarenim rashodima u ukupnom iznosu od 267.419,91€, a koji manjak se sastoji od:
Ostvareni manjak proračuna Općine Čeminac= 267.866,92€
Ostvareni višak proračunskog korisnika Dječji vrtić Ivančica = 447,01€</w:t>
      </w:r>
    </w:p>
    <w:p/>
  </w:body>
</w:document>
</file>

<file path=word/styles.xml><?xml version="1.0" encoding="utf-8"?>
<w:styles xmlns:w="http://schemas.openxmlformats.org/wordprocessingml/2006/main">
  <w:style w:type="paragraph" w:styleId="Normal" w:default="true">
    <w:name w:val="Normal"/>
    <w:rPr>
      <w:rFonts w:ascii="Times New Roman" w:hAnsi="Times New Roman"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e7a68ce66a144dbc" /></Relationships>
</file>