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c1c170aa5482b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35450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ČEMINAC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I - VI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1.087.457,92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1.259.627,86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807.639,35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1.307.383,06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47.755,20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9.677,08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53.329,65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551,1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285.709,59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210.398,03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276.032,51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157.068,38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56,9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64.776,38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63.043,34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64.776,38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63.043,34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60.990,32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267.866,92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439,2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izvještajnom razdoblju siječanj - lipanj 2025. godine ostvaren je manjak prihoda i primitaka, a koji manjak nije planiran i pokriti će se  u narednom periodu tekuće godine.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282.959,45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337.701,19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119,3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Prihodi od poreza bilježe rast od 19,3  % u odnosu na 2024. godinu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366.455,39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505.846,37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138,0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Pomoći iz inozemstva i od subjekata unutar općeg proračuna bilježe rast od 38 % u odnosu na isto izvještajno razdoblje 2024.g. 
Ostvareni su prihodi za fiskalno izravnanje, za fiskalnu održivost dječjeg vrtića, provedbu programa Zaželi, te programa sufinanciranja zapošljavanja u javnim radovima za dva djelatnika.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32.453,75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26.524,74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81,7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Prihodi od imovine bilježe pad od 18,3 % u odnosu na prethodno izvještajno razdoblje. Većinom se odnosi na pad prihoda od zakupa i iznajmljivanja imovine.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393.090,43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384.548,88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97,8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Prihodi od upravnih i administrativnih pristojbi, pristojbi po posebnim propisima i naknadama uprihodovani su za 2 % manje u odnosu na isto izvještajno razdoblje prošle godine. 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268.950,88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501.008,44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186,3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Rashodi za zaposlene bilježe rast od 86,3 % iz razloga dodatnog zapošljavanja sezonskih komunalnih radnika, te zbog isplaćene otpremnine.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209.508,91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267.021,72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127,5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Materijalni rashodi bilježe rast od 27,5 %, u najvećem dijelu rast se odnosi na materijal i usluge za održavanje.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18.028,59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16.743,16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92,9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Financijski rashodi manji su u izvještajnom razdoblju za 7 % u odnosu na isto razdoblje 2024. godine. 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79.316,50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169.048,28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213,1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Pomoći dane u inozemstvo i unutar općeg proračuna bilježe rast od 117 %, a odnose se na redovne prijenose korisniku Dječji vrtić Ivančica, a povećani su zbog isplate plaće po sudskoj presudi.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162.056,50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190.865,91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117,8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Naknade građanima i kućanstvima bilježe pad u odnosu na prošlogodišnje razdoblje, a odnose se na planirane isplaćene naknade građanima i kućanstvima.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69.777,97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153.645,55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220,2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Rashodi za donacije bilježe rast od 120 % u odnosu na isto razdoblje prethodne godine, a odnose se na planirane tekuće donacije udrugama građana i zajednicama koje djeluju na području Općine Čeminac.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285.709,59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210.398,03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73,6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Rashodi za nabavu nefinancijske imovine bilježe pad od 26,4 % u odnosu na isto razdoblje prethodne godine, a odnose se na planirana ulaganja u imovinu, izgradnju, opremanje, a provedba istih ide po planiranom tijeku.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64.776,38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63.043,34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97,3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Izdaci se odnose na redovitu otplatu dugoročnog kredita HBOR-a.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182.789,87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Dospjela obveza odnosi se na više naplaćenu komunalnu naknadu, koju je Općina po presudi dužna vratiti obvezniku i plan je do kraja godine izvršiti povrat.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179.214,25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Nedospjele obveze odnose se na plaću za zaposlene za 06/2025 i redovne režijske i materijalne obveze.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1.134.780,00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Odnosi se na dugoročni kredit HBOR-a.</w:t>
      </w:r>
    </w:p>
    <w:p/>
  </w:body>
</w:document>
</file>

<file path=word/styles.xml><?xml version="1.0" encoding="utf-8"?>
<w:styles xmlns:w="http://schemas.openxmlformats.org/wordprocessingml/2006/main"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b88a1494cb4c36" /></Relationships>
</file>