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16620112947a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ČEMINAC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1.681.097,95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1.906.648,05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1.307.188,94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1.834.315,32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373.909,01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72.332,73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12.812,83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32.084,07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478.419,17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284.554,38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465.606,34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252.470,31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96.331,70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94.565,01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96.331,70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94.565,01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188.029,03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274.702,59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siječanj - rujan 2025. godine ostvaren je manjak prihoda i primitaka, a koji manjak nije planiran i pokriti će se  u narednom periodu tekuće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483.451,94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558.133,37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bilježe rast od 15,4  % u odnosu na 2024. godinu zbog povećanog broja zaposlenih na području općine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555.133,78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736.478,78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iz inozemstva i od subjekata unutar općeg proračuna bilježe rast od 32 % u odnosu na isto izvještajno razdoblje 2024.g.  Ostvareni su prihodi za fiskalno izravnanje, za fiskalnu održivost dječjeg vrtića, provedbu programa Zaželi, te programa sufinanciranja zapošljavanja u javnim radovima za dva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35.224,60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30.182,56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imovine bilježe pad od 14,3 % u odnosu na prethodno izvještajno razdoblje. Većinom se odnosi na pad prihoda od zakupa i iznajmljivanja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594.323,44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574.869,44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upravnih i administrativnih pristojbi, pristojbi po posebnim propisima i naknadama ostvareni su za neznatnih 3,3 % manje u odnosu na isto izvještajno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479.271,21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752.516,29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bilježe rast od 57 % iz razloga dodatnog zapošljavanja sezonskih komunalnih radnika, te zbog isplaćene otpremnine.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335.644,37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417.616,41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bilježe rast od 24,4 %, u najvećem dijelu rast se odnosi na materijal i usluge za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27.201,93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24.769,37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Financijski rashodi manji su u izvještajnom razdoblju za 8,9 % u odnosu na isto razdoblje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119.573,97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228.806,88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dane u inozemstvo i unutar općeg proračuna bilježe rast od 91,4 %, a odnose se na redovne prijenose korisniku Dječji vrtić Ivančica, a povećani su zbog isplate plaće po sudskoj presudi, te zbog povećanja osnovice za obračun plaća temeljeno na prihvaćenom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222.371,63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219.404,65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građanima i kućanstvima bilježe pad u odnosu na prošlogodišnje razdoblje, a odnose se na planirane isplaćene naknade građanima i kućanstvima.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123.125,83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182.151,72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donacije bilježe rast od 47,9 % u odnosu na isto razdoblje prethodne godine, a odnose se na planirane tekuće donacije udrugama građana i zajednicama koje djeluju na području Općine Čeminac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478.419,17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284.554,38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nefinancijske imovine bilježe pad od 40,5 % u odnosu na isto razdoblje prethodne godine, a odnose se na planirana ulaganja u imovinu, izgradnju, opremanje, a provedba istih ide po planiranom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96.331,70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94.565,01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Izdaci se odnose na redovitu otplatu dugoročnog kredita HBOR-a.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156.106,22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odnose se na plaću za zaposlene za 09/2025 i redovne režijske i materijalne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1.040.214,99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dugoročni kredit HBOR-a.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1306cfc4a44641" /></Relationships>
</file>