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1ae4844cf4a71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35450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ČEMINAC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23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1.119.838,08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1.295.225,13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835.064,92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1.327.855,87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159,0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32.630,74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9.677,08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53.329,65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551,1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289.854,68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225.075,48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280.177,60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171.745,83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61,3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64.776,38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63.043,34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64.776,38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63.043,34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97,3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60.180,82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267.419,91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444,4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siječanj - lipanj 2025. godine ostvaren je manjak prihoda i primitaka, a koji manjak nije planiran i pokriti će se  u narednom periodu tekuće godine.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poreza (šifre 611+612+613+614+615+616)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282.959,45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337.701,19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poreza bilježe rast od 19,3  % u odnosu na 2024. godinu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366.455,39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505.846,37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Pomoći iz inozemstva i od subjekata unutar općeg proračuna  odnose se na tekuće i kapitalne pomoći za provođenje projekata te tekuće pomoći korisnicima iz proračuna koji im nije nadležan. Navedeni prihodi su veći za 38% u odnosu na prošlu godinu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imovine (šifre 641+642+643)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32.457,97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26.525,63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imovine većinom se odnosi na prihoda od zakupa i iznajmljivanja imovine, te na prihode od naknada za ceste te su u odnosu na prošlu godinu izvršeni manje za 18,3 %.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425.466,37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420.145,26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upravnih i administrativnih pristojbi, pristojbi po posebnim propisima i naknadama, odnosi se većinom na naplatu komunalne naknade, participacija na korištenje vrtića, te su isti ostvareni u nešto manjem opsegu nego prošle godine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346.594,03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651.724,89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bilježe rast od 88 % iz razloga dodatnog zapošljavanja sezonskih komunalnih radnika, te zbog isplaćene otpremnine, plaće po sudskoj presudi, povećanje koeficijenata i osnovice.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238.607,83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305.559,59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Materijalni rashodi bilježe rast od 28,1 %, u najvećem dijelu rast se odnosi na materijal i usluge za održavanje.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Financijski rashodi (šifre 341+342+343)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18.028,59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17.009,93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94,3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Financijski rashodi manji su u izvještajnom razdoblju za 5,7 % u odnosu na isto razdoblje 2024.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na temelju osiguranja i druge naknade (šifre 371+372)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162.056,50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190.865,91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Naknade građanima i kućanstvima bilježe rast u odnosu na prošlogodišnje razdoblje, a odnose se na planirane isplaćene naknade građanima i kućanstvima.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donacije, kazne, naknade šteta i kapitalne pomoći (šifre 381+382+383+386)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69.777,97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153.645,55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donacije bilježe rast od 120 % u odnosu na isto razdoblje prethodne godine, a odnose se na planirane tekuće donacije udrugama građana i zajednicama koje djeluju na području Općine Čeminac.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289.854,68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225.075,48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nabavu nefinancijske imovine bilježe pad od 22,3 % u odnosu na isto razdoblje prethodne godine, a odnose se na planirana ulaganja u imovinu, izgradnju, opremanje, a provedba istih ide po planiranom tijeku.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64.776,38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63.043,34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Izdaci se odnose na redovitu otplatu dugoročnog kredita HBOR-a.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182.789,87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Dospjela obveza odnosi se na više naplaćenu komunalnu naknadu, koju je Općina po presudi dužna vratiti obvezniku i plan je do kraja godine izvršiti povrat.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rashode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180.264,73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odnose se na plaću za zaposlene za 06/2025 i redovne režijske i materijalne obveze.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dio 25,26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financijsku imovinu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 dio 25,26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1.134.780,00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dugoročni kredit HBOR-a.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Unutargrupne transakcije koje su u izvještajima eliminirane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eliminirani su redovni prijenosi korisniku Dječji vrtić Ivančica u iznosu od 169.048,28€.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Manjak ili višak u poslovanju grupe i pregled strukture manjka/viška po proračunskim korisnicima 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Unutar poslovanja grupe ostvaren je manjak prihoda nad ostvarenim rashodima u ukupnom iznosu od 267.419,91€, a koji manjak se sastoji od:
Ostvareni manjak proračuna Općine Čeminac= 267.866,92€
Ostvareni višak proračunskog korisnika Dječji vrtić Ivančica = 447,01€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68ce66a144dbc" /></Relationships>
</file>