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7777777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400-04/23-01/0001</w:t>
      </w:r>
    </w:p>
    <w:p w14:paraId="4C968B71" w14:textId="7777777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2158-11-02-23-1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7777777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, 31. ožujka 2023.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 xml:space="preserve">UZ FINANCIJSKE 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IZVJEŠTAJE</w:t>
      </w:r>
    </w:p>
    <w:p w14:paraId="08BCCC17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31. ožujka 2023.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Sjedište obveznika: 31325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Čeminac</w:t>
      </w:r>
      <w:proofErr w:type="spellEnd"/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</w:t>
      </w:r>
      <w:r>
        <w:rPr>
          <w:rFonts w:ascii="Times New Roman" w:eastAsia="Times New Roman" w:hAnsi="Times New Roman"/>
          <w:sz w:val="24"/>
          <w:szCs w:val="24"/>
        </w:rPr>
        <w:t>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77777777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31. 03. 2023.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2023.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</w:t>
      </w:r>
      <w:r>
        <w:rPr>
          <w:rFonts w:ascii="Arial Narrow" w:hAnsi="Arial Narrow"/>
          <w:b/>
          <w:bCs/>
          <w:sz w:val="24"/>
          <w:szCs w:val="24"/>
        </w:rPr>
        <w:t>jedećih financijsko planskih dokumenata :</w:t>
      </w:r>
    </w:p>
    <w:p w14:paraId="3F42A27A" w14:textId="77777777" w:rsidR="00311C2E" w:rsidRDefault="00AE556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Odluka o financiranju nužnih rashoda i izdataka za razdoblje od 01. siječnja do 31. ožujka 2023. godine (Službeni glasnik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broj 3/2023),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 i predaji financijskih izvj</w:t>
      </w:r>
      <w:r>
        <w:rPr>
          <w:rFonts w:ascii="Arial Narrow" w:hAnsi="Arial Narrow"/>
          <w:sz w:val="24"/>
          <w:szCs w:val="24"/>
        </w:rPr>
        <w:t>eštaja proračuna, proračunskih i izvanproračunskih korisnika državnog proračuna te proračunskih i izvanproračunskih korisnika proračuna jedinica lokalne i područne ( regionalne ) samouprave za razdoblje od 1. siječnja do 31. ožujka 2023. godine Klasa: 400-</w:t>
      </w:r>
      <w:r>
        <w:rPr>
          <w:rFonts w:ascii="Arial Narrow" w:hAnsi="Arial Narrow"/>
          <w:sz w:val="24"/>
          <w:szCs w:val="24"/>
        </w:rPr>
        <w:t xml:space="preserve">02/23-01/27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513-05-03-23-1 od 30. ožujka 2023. godine predaje se izvještaj razine 22  u zadanom roku do 11. travnja 2023.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75B564A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Izvještaj o prihodima i rashodima, primicima i izdacima na </w:t>
      </w:r>
      <w:r>
        <w:rPr>
          <w:rFonts w:ascii="Times New Roman" w:eastAsia="Times New Roman" w:hAnsi="Times New Roman"/>
          <w:sz w:val="24"/>
          <w:szCs w:val="24"/>
        </w:rPr>
        <w:t>Obrascu: PR-RAS,</w:t>
      </w:r>
    </w:p>
    <w:p w14:paraId="660A26A1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OBVEZE.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01425F6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NAPOMENA: </w:t>
      </w:r>
    </w:p>
    <w:p w14:paraId="10012C7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814238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Općini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nije izrađen, niti na Općinskom vijeću usvojen godišnji obračun o izvršenju proračuna za 2021. godinu.  Nije sastavljeno polugodišnje i </w:t>
      </w:r>
      <w:r>
        <w:rPr>
          <w:rFonts w:ascii="Times New Roman" w:hAnsi="Times New Roman"/>
          <w:sz w:val="24"/>
          <w:szCs w:val="24"/>
        </w:rPr>
        <w:t>devetomjesečno financijsko izvješće za 2022. godinu, a novi izvršni čelnik počeo je obnašati dužnost krajem rujna 2022. godine.</w:t>
      </w:r>
    </w:p>
    <w:p w14:paraId="57A4D34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9494831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Pristupanju na dužnost, a niti do kraja 2022. godine nije bila dostupna sva relevantna financijska dokumentacija (financijski i</w:t>
      </w:r>
      <w:r>
        <w:rPr>
          <w:rFonts w:ascii="Times New Roman" w:hAnsi="Times New Roman"/>
          <w:sz w:val="24"/>
          <w:szCs w:val="24"/>
        </w:rPr>
        <w:t xml:space="preserve">zvještaji prijašnjih razdoblja, ulazni računi, izdana rješenja, obračuni plaća, naknada i honorara, sklopljeni aktivni ugovori, sudski sporovi, razne odluke o već isplaćenim financijskim sredstvima, odluke o darovanjima te ostala dokumentacija potrebna za </w:t>
      </w:r>
      <w:r>
        <w:rPr>
          <w:rFonts w:ascii="Times New Roman" w:hAnsi="Times New Roman"/>
          <w:sz w:val="24"/>
          <w:szCs w:val="24"/>
        </w:rPr>
        <w:t>ažurno računovodstveno praćenje) što je značajno utjecalo na izradu godišnjeg financijskog izvješća za 2022. godinu te je isto izrađeno i sastavljeno temeljem dostupne financijske dokumentacije.</w:t>
      </w:r>
    </w:p>
    <w:p w14:paraId="3B63690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3D63304E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77777777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lastRenderedPageBreak/>
        <w:t xml:space="preserve"> I. BILJEŠKE UZ IZVJEŠTAJ O PRIHODIMA I RASH</w:t>
      </w:r>
      <w:r>
        <w:rPr>
          <w:rFonts w:ascii="Arial Narrow" w:hAnsi="Arial Narrow"/>
          <w:b/>
          <w:bCs/>
          <w:i/>
          <w:sz w:val="24"/>
          <w:szCs w:val="24"/>
        </w:rPr>
        <w:t>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67CE940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363.838,95 €  (šifra X678) što pokazuje smanjenje  </w:t>
      </w:r>
    </w:p>
    <w:p w14:paraId="210D0588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za 62,5 % u odnosu na isto razdoblje u 2022. godini.</w:t>
      </w:r>
    </w:p>
    <w:p w14:paraId="0B99FE9D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</w:t>
      </w:r>
      <w:r>
        <w:rPr>
          <w:rFonts w:ascii="Arial Narrow" w:hAnsi="Arial Narrow"/>
          <w:i/>
          <w:sz w:val="24"/>
          <w:szCs w:val="24"/>
        </w:rPr>
        <w:t>ostvareni su u iznosu od 399.735,17 € (šifra Y345)  što pokazuje smanjenje za 44,9  % u odnosu na isto razdoblje u 2022. godini.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77777777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 bilježe rast od 4,8  % u odnosu na 2022. godinu.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77777777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ozemstva i od subjekata unutar općeg proračuna bilježe pad od 38,1 % u odnosu na prethodno izvještajno razdoblje.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77777777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bilježe pad od 27,6 % u odnosu na prethodno izvještajno razdoblje. Većinom se odnosi na pad prihod</w:t>
      </w:r>
      <w:r>
        <w:rPr>
          <w:rFonts w:ascii="Arial Narrow" w:hAnsi="Arial Narrow"/>
          <w:i/>
          <w:sz w:val="24"/>
          <w:szCs w:val="24"/>
        </w:rPr>
        <w:t xml:space="preserve">a od zakupa i iznajmljivanja imovine, te na pad prihoda od naknada za ceste, a iz razloga donošenja ocjene o nezakonitosti izdanih akata od strane Visokog upravnog suda.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451D40D7" w14:textId="77777777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o posebnim propisima i naknadama </w:t>
      </w:r>
      <w:proofErr w:type="spellStart"/>
      <w:r>
        <w:rPr>
          <w:rFonts w:ascii="Arial Narrow" w:hAnsi="Arial Narrow"/>
          <w:i/>
          <w:sz w:val="24"/>
          <w:szCs w:val="24"/>
          <w:lang w:eastAsia="hr-HR"/>
        </w:rPr>
        <w:t>uprihodovani</w:t>
      </w:r>
      <w:proofErr w:type="spellEnd"/>
      <w:r>
        <w:rPr>
          <w:rFonts w:ascii="Arial Narrow" w:hAnsi="Arial Narrow"/>
          <w:i/>
          <w:sz w:val="24"/>
          <w:szCs w:val="24"/>
          <w:lang w:eastAsia="hr-HR"/>
        </w:rPr>
        <w:t xml:space="preserve"> su za 87,3 % manje u odnosu na isto izvještajno razdoblje prošle godine. </w:t>
      </w:r>
    </w:p>
    <w:p w14:paraId="0E4D58EB" w14:textId="77777777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i/>
          <w:sz w:val="24"/>
          <w:szCs w:val="24"/>
          <w:lang w:eastAsia="hr-HR"/>
        </w:rPr>
        <w:t xml:space="preserve">Razlog smanjenja ovih prihoda je više naplaćenih komunalnih doprinosa za izgradnju u prethodnoj godini te manji koeficijenti za obračun 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komunalne naknade.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77777777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 bilježe pad u odnosu na prethodno razdoblje.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>
        <w:rPr>
          <w:rFonts w:ascii="Arial Narrow" w:hAnsi="Arial Narrow"/>
          <w:i/>
          <w:sz w:val="24"/>
          <w:szCs w:val="24"/>
        </w:rPr>
        <w:t xml:space="preserve"> – Rashodi za zaposlene bilježe pad od 8,5 %, zbog smanjenja zaposlenih.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>Materijalni</w:t>
      </w:r>
      <w:r>
        <w:rPr>
          <w:rFonts w:ascii="Arial Narrow" w:hAnsi="Arial Narrow"/>
          <w:bCs/>
          <w:i/>
          <w:sz w:val="24"/>
          <w:szCs w:val="24"/>
        </w:rPr>
        <w:t xml:space="preserve"> rashodi bilježe rast od 139,4 %. Neki od </w:t>
      </w:r>
      <w:r>
        <w:rPr>
          <w:rFonts w:ascii="Arial Narrow" w:hAnsi="Arial Narrow"/>
          <w:i/>
          <w:sz w:val="24"/>
          <w:szCs w:val="24"/>
        </w:rPr>
        <w:t xml:space="preserve"> materijalnih rashoda povećani   su u izvještajnom razdoblju u odnosu na isto izvještajno razdoblje prošle godine. Razlog povećanja rashoda dogodio se zbog prošlogodišnjeg  nefunkcioniranja općine, </w:t>
      </w:r>
      <w:r>
        <w:rPr>
          <w:rFonts w:ascii="Arial Narrow" w:hAnsi="Arial Narrow"/>
          <w:i/>
          <w:sz w:val="24"/>
          <w:szCs w:val="24"/>
        </w:rPr>
        <w:t>zaostalih računa, velikog broja zaplijene od strane nezakonito ovršenih osoba prethodne godine.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smanjeni su u izvještajnom razdoblju za 71 % u odnosu na isto razdoblje 2022. godine. </w:t>
      </w:r>
    </w:p>
    <w:p w14:paraId="764650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279F2AB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36</w:t>
      </w:r>
      <w:r>
        <w:rPr>
          <w:rFonts w:ascii="Arial Narrow" w:hAnsi="Arial Narrow"/>
          <w:i/>
          <w:sz w:val="24"/>
          <w:szCs w:val="24"/>
        </w:rPr>
        <w:t xml:space="preserve"> – Pomoć</w:t>
      </w:r>
      <w:r>
        <w:rPr>
          <w:rFonts w:ascii="Arial Narrow" w:hAnsi="Arial Narrow"/>
          <w:i/>
          <w:sz w:val="24"/>
          <w:szCs w:val="24"/>
        </w:rPr>
        <w:t>i dane u inozemstvo i unutar općeg proračuna bilježe pad od 8,2 %, a odnose se na redovne prijenose korisniku Dječji vrtić Ivančica.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1F2CF6D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38</w:t>
      </w:r>
      <w:r>
        <w:rPr>
          <w:rFonts w:ascii="Arial Narrow" w:hAnsi="Arial Narrow"/>
          <w:i/>
          <w:sz w:val="24"/>
          <w:szCs w:val="24"/>
        </w:rPr>
        <w:t xml:space="preserve"> – Ostali rashodi bilježe pad od 100 % u odnosu na isto razdoblje prethodne godine. Obzirom u </w:t>
      </w:r>
      <w:r>
        <w:rPr>
          <w:rFonts w:ascii="Arial Narrow" w:hAnsi="Arial Narrow"/>
          <w:i/>
          <w:sz w:val="24"/>
          <w:szCs w:val="24"/>
        </w:rPr>
        <w:t>Općini nije usvojen Proračun za 2023. godinu financiraju se samo nužni rashodi  koji se financiraju iz odgovarajućeg odnosno Zakonom dozvoljenog izvora financiranja.</w:t>
      </w:r>
    </w:p>
    <w:p w14:paraId="4B0C6103" w14:textId="77777777" w:rsidR="00311C2E" w:rsidRDefault="00311C2E">
      <w:pPr>
        <w:suppressAutoHyphens w:val="0"/>
        <w:autoSpaceDE w:val="0"/>
        <w:spacing w:after="0"/>
        <w:jc w:val="both"/>
        <w:textAlignment w:val="auto"/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363.838,95 €</w:t>
      </w:r>
    </w:p>
    <w:p w14:paraId="1DF8B3F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691BC01F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UKUPNI RASHODI I</w:t>
      </w:r>
      <w:r>
        <w:rPr>
          <w:rFonts w:ascii="Arial Narrow" w:hAnsi="Arial Narrow"/>
          <w:b/>
          <w:iCs/>
          <w:sz w:val="24"/>
          <w:szCs w:val="24"/>
        </w:rPr>
        <w:t xml:space="preserve">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399.735,17 €</w:t>
      </w:r>
    </w:p>
    <w:p w14:paraId="68A65F7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51A9623F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VIŠAK PRIHODA I PRIMITAKA – (šifra X005) IZNOSI        </w:t>
      </w:r>
      <w:r>
        <w:rPr>
          <w:rFonts w:ascii="Arial Narrow" w:hAnsi="Arial Narrow"/>
          <w:b/>
          <w:iCs/>
          <w:sz w:val="24"/>
          <w:szCs w:val="24"/>
        </w:rPr>
        <w:tab/>
        <w:t>˘ -35.896,22 €</w:t>
      </w:r>
    </w:p>
    <w:p w14:paraId="6A2AFB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0DEE1EB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MANJAK  PRIHODA I PRIMITAKA</w:t>
      </w:r>
    </w:p>
    <w:p w14:paraId="031CB856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474.993,76 €</w:t>
      </w:r>
    </w:p>
    <w:p w14:paraId="7FD85FA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lastRenderedPageBreak/>
        <w:t>VIŠAK PRIHODA I PRIMITAKA RASPOLOŽIV U</w:t>
      </w:r>
    </w:p>
    <w:p w14:paraId="3A16A4B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SLJE</w:t>
      </w:r>
      <w:r>
        <w:rPr>
          <w:rFonts w:ascii="Arial Narrow" w:hAnsi="Arial Narrow"/>
          <w:b/>
          <w:iCs/>
          <w:sz w:val="24"/>
          <w:szCs w:val="24"/>
        </w:rPr>
        <w:t>DEĆEM RAZDOBLJU (šifra X006) IZNOSI                          439.097,54 €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77777777" w:rsidR="00311C2E" w:rsidRDefault="00AE5561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 xml:space="preserve">Stanje obveza 1. siječnja 2023. </w:t>
      </w:r>
      <w:r>
        <w:rPr>
          <w:rFonts w:ascii="Times New Roman" w:hAnsi="Times New Roman"/>
          <w:sz w:val="24"/>
          <w:szCs w:val="24"/>
        </w:rPr>
        <w:t>(stanje obveza iz Izvještaja o obvezama na 31. prosinca prethodne godine) šifra V001 iznosilo je 1.391.366,60 €</w:t>
      </w:r>
    </w:p>
    <w:p w14:paraId="317DA859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obveza u izvještajnom razdoblju šifra V002 iznosilo je 157.180,01 €</w:t>
      </w:r>
    </w:p>
    <w:p w14:paraId="3CB03819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razdoblju šifra V004 iznosilo je 190.709,18 €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>
        <w:rPr>
          <w:rFonts w:ascii="Times New Roman" w:hAnsi="Times New Roman"/>
          <w:sz w:val="24"/>
          <w:szCs w:val="24"/>
        </w:rPr>
        <w:t>1.357.837,43 €</w:t>
      </w:r>
    </w:p>
    <w:p w14:paraId="0A786443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</w:p>
    <w:p w14:paraId="47AB0753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31. ožujka 2023. godine iznosi 1.307.279,44 €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0FF7004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zaposlene za obračunatu plaću za ožujak/2023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obveze za režijske troškove i redovne </w:t>
      </w:r>
      <w:r>
        <w:rPr>
          <w:rFonts w:ascii="Times New Roman" w:eastAsia="Times New Roman" w:hAnsi="Times New Roman"/>
          <w:sz w:val="24"/>
          <w:szCs w:val="24"/>
        </w:rPr>
        <w:t>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283D8009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obvezu za financijsku imovinu – odnosno otplatu kredita</w:t>
      </w:r>
    </w:p>
    <w:p w14:paraId="5A659164" w14:textId="77777777" w:rsidR="00311C2E" w:rsidRDefault="00311C2E">
      <w:pPr>
        <w:suppressAutoHyphens w:val="0"/>
        <w:autoSpaceDE w:val="0"/>
        <w:spacing w:after="0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6DBAE08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354599B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</w:p>
    <w:p w14:paraId="4A265A7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C6888E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1158D65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1822B7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E457F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010FB0D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200099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A87201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CE6E71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13C94A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1EC9B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5328" w14:textId="77777777" w:rsidR="00000000" w:rsidRDefault="00AE5561">
      <w:pPr>
        <w:spacing w:after="0"/>
      </w:pPr>
      <w:r>
        <w:separator/>
      </w:r>
    </w:p>
  </w:endnote>
  <w:endnote w:type="continuationSeparator" w:id="0">
    <w:p w14:paraId="506E2CBC" w14:textId="77777777" w:rsidR="00000000" w:rsidRDefault="00AE55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E79B" w14:textId="77777777" w:rsidR="00000000" w:rsidRDefault="00AE556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C42053" w14:textId="77777777" w:rsidR="00000000" w:rsidRDefault="00AE55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8619782">
    <w:abstractNumId w:val="1"/>
  </w:num>
  <w:num w:numId="2" w16cid:durableId="579556581">
    <w:abstractNumId w:val="2"/>
  </w:num>
  <w:num w:numId="3" w16cid:durableId="1982726816">
    <w:abstractNumId w:val="0"/>
  </w:num>
  <w:num w:numId="4" w16cid:durableId="149992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1C2E"/>
    <w:rsid w:val="00311C2E"/>
    <w:rsid w:val="00A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Korisnik</cp:lastModifiedBy>
  <cp:revision>2</cp:revision>
  <cp:lastPrinted>2023-02-15T16:58:00Z</cp:lastPrinted>
  <dcterms:created xsi:type="dcterms:W3CDTF">2023-04-11T10:20:00Z</dcterms:created>
  <dcterms:modified xsi:type="dcterms:W3CDTF">2023-04-11T10:20:00Z</dcterms:modified>
</cp:coreProperties>
</file>